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“渤海风”学术文化季活动之三：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center"/>
        <w:textAlignment w:val="auto"/>
        <w:rPr>
          <w:rFonts w:ascii="宋体" w:hAnsi="宋体" w:eastAsia="宋体" w:cs="宋体"/>
          <w:color w:val="000000"/>
          <w:kern w:val="2"/>
          <w:sz w:val="36"/>
          <w:szCs w:val="36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u w:color="000000"/>
          <w:lang w:val="zh-TW" w:eastAsia="zh-TW"/>
        </w:rPr>
        <w:t>关于举办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u w:color="000000"/>
          <w:lang w:val="zh-CN" w:eastAsia="zh-CN"/>
        </w:rPr>
        <w:t>启明新星之创新创业分享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u w:color="00000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u w:color="000000"/>
          <w:lang w:val="zh-TW" w:eastAsia="zh-TW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各研究生培养单位：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为激发研究生创新意识和实践精神，鼓励广大研究生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开拓视野、积极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参加学科竞赛、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了解科研成果转化途径、加强创新创业交流，带动我校研究生科研创新创业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热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情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决定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启明新星之创新创业分享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活动，现将有关事项通知如下：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>一、活动宗旨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本活动旨在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优秀朋辈榜样力量引导我校研究生开阔视野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开拓思路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激发我校研究生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参加学科竞赛及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创新创业热情，在广大研究生中营造锐意进取、开拓创新的氛围。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>二、组织单位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1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主办单位：党委研究生工作部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1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协办单位：校研究生会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科小研新媒体中心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>三、参加人员范围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1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全体在读硕士、博士研究生均可参加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>四、活动内容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由各学院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结合实际情况组织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具有创新创业思想，在历届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中国研究生创新实践系列大赛、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互联网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+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大学生创新创业大赛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挑战杯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等创新创业大赛中取得优异成绩的研究生团队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或具有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科技扶贫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成果转化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等项目经验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的研究生团队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，分享创新创新成果、科研转化经验、创新创业思路及参赛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心路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历程等内容。各学院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结合实际情况遴选推荐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最具代表性的一个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分享报告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至学校，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作为校级分享报告会内容，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学院需对分享报告内容进行严格把关打磨，以保证报告效果。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学校将通过天科大研究生官微、研究生院网站、学校网站等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对校级分享报告会大力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宣传，吸引全校师生参加。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将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在各学院推荐的校级分享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报告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主讲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人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中遴选若干人在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学校综合交流报告会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上进行报告展示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，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校级报告会时间及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具体安排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将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另行通知。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 xml:space="preserve">     五、进度安排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en-US" w:eastAsia="zh-CN"/>
        </w:rPr>
        <w:t>及材料报送要求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（一）报告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主讲人遴选阶段（即日起—4月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根据自愿报名和学院推荐相结合的原则，各学院指导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研究生会或骨干组织做好学院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分享会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报告主讲人的推选工作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4月28日（周五）前，报送《创新创业分享会报名情况汇总表》及《创新创业分享会推荐登记表》。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（二）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学院分享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报告会开展阶段（4月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日—5月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各学院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结合实际情况组织开展学院分享报告会。5月23日（周二）前，报送《创新创业分享会开展情况汇总表》。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（三）学校综合交流报告会阶段（5月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日—5月3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校级报告会时间及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具体安排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将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另行通知。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以上材料纸质版报送至研工部两校区办公室，电子版同时发送至思政科邮箱sizhengke@tust.edu.cn。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color="000000"/>
          <w:lang w:val="zh-TW" w:eastAsia="zh-TW"/>
        </w:rPr>
        <w:t>、其它要求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请各学院按照本通知要求，积极组织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认真遴选报告团队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对其报告内容及形式等严把质量关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口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，并在研究生中广泛宣传本活动，积极动员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及组织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本学院研究生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en-US" w:eastAsia="zh-CN"/>
        </w:rPr>
        <w:t>参加分享会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color="000000"/>
          <w:lang w:val="zh-TW" w:eastAsia="zh-TW"/>
        </w:rPr>
        <w:t>，让广大研究生在与朋辈的交流中开拓思路，开阔视野，激发广大研究生创新创业激情。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lang w:val="en-US" w:eastAsia="zh-CN"/>
        </w:rPr>
        <w:t>当选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硕博学术创新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lang w:val="en-US" w:eastAsia="zh-CN"/>
        </w:rPr>
        <w:t>论坛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学院分论坛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lang w:val="en-US" w:eastAsia="zh-CN"/>
        </w:rPr>
        <w:t>主讲人或启明新星创新创业分享会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学院分享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报告会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lang w:val="en-US" w:eastAsia="zh-CN"/>
        </w:rPr>
        <w:t>主讲人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是评选本年度“十佳学术之星”的必要条件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被推选为校级创新创业分享会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主讲人的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研究生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，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在参评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本年度“十佳学术之星”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初评时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将获得相应加分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通过学校遴选并在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学校综合交流报告会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上交流展示的主讲人还将获得校级荣誉证书。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/>
        <w:jc w:val="both"/>
        <w:textAlignment w:val="auto"/>
        <w:rPr>
          <w:rFonts w:ascii="仿宋_GB2312" w:hAnsi="仿宋_GB2312" w:eastAsia="仿宋_GB2312" w:cs="仿宋_GB2312"/>
          <w:b/>
          <w:bCs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u w:color="00000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u w:color="000000"/>
          <w:lang w:val="zh-TW" w:eastAsia="zh-TW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联系人：张娇林 郭婧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联系电话：60600130 60600282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5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附件1：启明新星之创新创业分享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会报名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附件2：启明新星之创新创业分享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推荐登记表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：启明新星之创新创业分享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开展情况汇总表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56"/>
        <w:jc w:val="right"/>
        <w:textAlignment w:val="auto"/>
        <w:rPr>
          <w:rFonts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党委研究生工作部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56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sectPr>
          <w:pgSz w:w="11906" w:h="16838"/>
          <w:pgMar w:top="1134" w:right="1134" w:bottom="1134" w:left="1134" w:header="709" w:footer="85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二〇二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年四月十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u w:color="000000"/>
          <w:lang w:val="zh-TW" w:eastAsia="zh-TW"/>
        </w:rPr>
        <w:t>日</w:t>
      </w:r>
    </w:p>
    <w:p>
      <w:pPr>
        <w:spacing w:line="520" w:lineRule="exact"/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 xml:space="preserve"> 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第十二届</w:t>
      </w:r>
      <w:r>
        <w:rPr>
          <w:rFonts w:hint="eastAsia" w:ascii="黑体" w:eastAsia="黑体"/>
          <w:bCs/>
          <w:sz w:val="36"/>
          <w:szCs w:val="36"/>
        </w:rPr>
        <w:t>“渤海风”研究生学术文化季</w:t>
      </w:r>
    </w:p>
    <w:p>
      <w:pPr>
        <w:spacing w:line="5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启明新星</w:t>
      </w:r>
      <w:r>
        <w:rPr>
          <w:rFonts w:hint="eastAsia" w:ascii="黑体" w:eastAsia="黑体"/>
          <w:bCs/>
          <w:sz w:val="36"/>
          <w:szCs w:val="36"/>
        </w:rPr>
        <w:t>之创新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创业分享会报名</w:t>
      </w:r>
      <w:r>
        <w:rPr>
          <w:rFonts w:hint="eastAsia" w:ascii="黑体" w:eastAsia="黑体"/>
          <w:bCs/>
          <w:sz w:val="36"/>
          <w:szCs w:val="36"/>
        </w:rPr>
        <w:t>情况汇总表</w:t>
      </w: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354" w:firstLineChars="147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学院（公章）：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1823"/>
        <w:gridCol w:w="179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分享</w:t>
            </w: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rFonts w:hint="eastAsia"/>
                <w:b/>
                <w:sz w:val="24"/>
                <w:lang w:val="en-US" w:eastAsia="zh-CN"/>
              </w:rPr>
              <w:t>题目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报告人学号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rFonts w:hint="eastAsia"/>
                <w:b/>
                <w:sz w:val="24"/>
                <w:lang w:val="en-US" w:eastAsia="zh-CN"/>
              </w:rPr>
              <w:t>人层次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1417" w:firstLineChars="588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分享会</w:t>
      </w:r>
      <w:r>
        <w:rPr>
          <w:rFonts w:hint="eastAsia" w:ascii="宋体" w:hAnsi="宋体"/>
          <w:b/>
          <w:sz w:val="24"/>
        </w:rPr>
        <w:t>负责人：____________           联系方式：</w:t>
      </w:r>
      <w:r>
        <w:rPr>
          <w:rFonts w:hint="eastAsia" w:ascii="宋体" w:hAnsi="宋体"/>
          <w:b/>
          <w:sz w:val="24"/>
          <w:u w:val="single"/>
        </w:rPr>
        <w:t xml:space="preserve">                   </w:t>
      </w:r>
      <w:r>
        <w:rPr>
          <w:rFonts w:hint="eastAsia" w:ascii="宋体" w:hAnsi="宋体"/>
          <w:b/>
          <w:sz w:val="24"/>
        </w:rPr>
        <w:t xml:space="preserve">      填表时间：_______________</w:t>
      </w:r>
    </w:p>
    <w:p>
      <w:pPr>
        <w:spacing w:line="320" w:lineRule="exact"/>
        <w:ind w:firstLine="472" w:firstLineChars="196"/>
        <w:rPr>
          <w:rFonts w:hint="eastAsia" w:ascii="仿宋_GB2312" w:hAnsi="宋体" w:eastAsia="仿宋_GB2312"/>
          <w:szCs w:val="21"/>
        </w:rPr>
        <w:sectPr>
          <w:pgSz w:w="16838" w:h="11906" w:orient="landscape"/>
          <w:pgMar w:top="1134" w:right="1134" w:bottom="1134" w:left="1134" w:header="709" w:footer="850" w:gutter="0"/>
          <w:cols w:space="720" w:num="1"/>
        </w:sectPr>
      </w:pPr>
      <w:r>
        <w:rPr>
          <w:rFonts w:hint="eastAsia" w:ascii="仿宋_GB2312" w:hAnsi="宋体" w:eastAsia="仿宋_GB2312"/>
          <w:b/>
          <w:bCs/>
          <w:szCs w:val="21"/>
        </w:rPr>
        <w:t xml:space="preserve">注: </w:t>
      </w:r>
      <w:r>
        <w:rPr>
          <w:rFonts w:hint="eastAsia" w:ascii="仿宋_GB2312" w:hAnsi="宋体" w:eastAsia="仿宋_GB2312"/>
          <w:szCs w:val="21"/>
        </w:rPr>
        <w:t>请以学院为单位把此表于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28</w:t>
      </w:r>
      <w:r>
        <w:rPr>
          <w:rFonts w:hint="eastAsia" w:ascii="仿宋_GB2312" w:hAnsi="宋体" w:eastAsia="仿宋_GB2312"/>
          <w:szCs w:val="21"/>
        </w:rPr>
        <w:t>日</w:t>
      </w:r>
      <w:r>
        <w:rPr>
          <w:rFonts w:hint="eastAsia" w:eastAsia="仿宋_GB2312"/>
          <w:szCs w:val="21"/>
        </w:rPr>
        <w:t>（周</w:t>
      </w:r>
      <w:r>
        <w:rPr>
          <w:rFonts w:hint="eastAsia" w:eastAsia="仿宋_GB2312"/>
          <w:szCs w:val="21"/>
          <w:lang w:val="en-US" w:eastAsia="zh-CN"/>
        </w:rPr>
        <w:t>五</w:t>
      </w:r>
      <w:r>
        <w:rPr>
          <w:rFonts w:hint="eastAsia" w:eastAsia="仿宋_GB2312"/>
          <w:szCs w:val="21"/>
        </w:rPr>
        <w:t>）之前</w:t>
      </w:r>
      <w:r>
        <w:rPr>
          <w:rFonts w:hint="eastAsia" w:ascii="仿宋_GB2312" w:hAnsi="宋体" w:eastAsia="仿宋_GB2312"/>
          <w:szCs w:val="21"/>
        </w:rPr>
        <w:t>报送至研工部，电子版</w:t>
      </w:r>
      <w:r>
        <w:rPr>
          <w:rFonts w:hint="eastAsia" w:eastAsia="仿宋_GB2312"/>
          <w:szCs w:val="21"/>
        </w:rPr>
        <w:t>发送电子版到邮箱：</w:t>
      </w:r>
      <w:r>
        <w:rPr>
          <w:rFonts w:hint="eastAsia" w:ascii="仿宋_GB2312" w:hAnsi="宋体" w:eastAsia="仿宋_GB2312"/>
          <w:szCs w:val="21"/>
        </w:rPr>
        <w:t>sizhengke@tust.edu.cn。</w:t>
      </w:r>
    </w:p>
    <w:p>
      <w:pPr>
        <w:spacing w:line="320" w:lineRule="exact"/>
        <w:ind w:firstLine="470" w:firstLineChars="196"/>
        <w:rPr>
          <w:rFonts w:hint="eastAsia" w:ascii="仿宋_GB2312" w:hAnsi="宋体" w:eastAsia="仿宋_GB2312"/>
          <w:szCs w:val="21"/>
        </w:rPr>
      </w:pPr>
    </w:p>
    <w:p>
      <w:pPr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：</w:t>
      </w:r>
    </w:p>
    <w:p>
      <w:pPr>
        <w:spacing w:line="540" w:lineRule="exact"/>
        <w:jc w:val="center"/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天津科技大学第十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bCs/>
          <w:sz w:val="36"/>
          <w:szCs w:val="36"/>
          <w:lang w:eastAsia="zh-CN"/>
        </w:rPr>
        <w:t>届“渤海风”研究生学术文化季</w:t>
      </w:r>
    </w:p>
    <w:p>
      <w:pPr>
        <w:spacing w:line="540" w:lineRule="exact"/>
        <w:jc w:val="center"/>
        <w:rPr>
          <w:rFonts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启明新星之创新创业分享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会</w:t>
      </w:r>
      <w:r>
        <w:rPr>
          <w:rFonts w:hint="eastAsia" w:ascii="黑体" w:eastAsia="黑体"/>
          <w:bCs/>
          <w:sz w:val="36"/>
          <w:szCs w:val="36"/>
          <w:lang w:eastAsia="zh-CN"/>
        </w:rPr>
        <w:t>推荐登记表</w:t>
      </w:r>
    </w:p>
    <w:p>
      <w:pPr>
        <w:spacing w:line="320" w:lineRule="exact"/>
        <w:rPr>
          <w:rFonts w:ascii="宋体" w:hAnsi="宋体"/>
          <w:bCs/>
          <w:sz w:val="30"/>
          <w:szCs w:val="30"/>
        </w:rPr>
      </w:pPr>
    </w:p>
    <w:p>
      <w:pPr>
        <w:spacing w:line="320" w:lineRule="exact"/>
        <w:ind w:firstLine="7320" w:firstLineChars="3050"/>
        <w:rPr>
          <w:rFonts w:ascii="宋体" w:hAnsi="宋体"/>
          <w:bCs/>
        </w:rPr>
      </w:pPr>
    </w:p>
    <w:p>
      <w:pPr>
        <w:spacing w:line="320" w:lineRule="exact"/>
        <w:rPr>
          <w:rFonts w:ascii="黑体" w:eastAsia="黑体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4"/>
        </w:rPr>
        <w:t>学院（公章）：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/>
          <w:bCs/>
        </w:rPr>
        <w:t>年</w:t>
      </w:r>
      <w:r>
        <w:rPr>
          <w:rFonts w:ascii="宋体" w:hAnsi="宋体"/>
          <w:bCs/>
          <w:lang w:eastAsia="zh-CN"/>
        </w:rPr>
        <w:t xml:space="preserve">   </w:t>
      </w:r>
      <w:r>
        <w:rPr>
          <w:rFonts w:hint="eastAsia" w:ascii="宋体" w:hAnsi="宋体"/>
          <w:bCs/>
        </w:rPr>
        <w:t xml:space="preserve">月 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日</w:t>
      </w:r>
    </w:p>
    <w:tbl>
      <w:tblPr>
        <w:tblStyle w:val="5"/>
        <w:tblpPr w:leftFromText="180" w:rightFromText="180" w:vertAnchor="text" w:horzAnchor="page" w:tblpX="1129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893"/>
        <w:gridCol w:w="1535"/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报告人姓名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highlight w:val="yellow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学号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层次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（硕士、博士）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专业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拟开展分享会时间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拟开展分享会地点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报告人</w:t>
            </w:r>
            <w:r>
              <w:rPr>
                <w:rFonts w:hint="eastAsia" w:ascii="仿宋_GB2312" w:eastAsia="仿宋_GB2312"/>
                <w:lang w:eastAsia="zh-CN"/>
              </w:rPr>
              <w:t>情况简介</w:t>
            </w:r>
          </w:p>
        </w:tc>
        <w:tc>
          <w:tcPr>
            <w:tcW w:w="7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报告</w:t>
            </w:r>
            <w:r>
              <w:rPr>
                <w:rFonts w:hint="eastAsia" w:ascii="仿宋_GB2312" w:eastAsia="仿宋_GB2312"/>
              </w:rPr>
              <w:t>题目</w:t>
            </w:r>
          </w:p>
        </w:tc>
        <w:tc>
          <w:tcPr>
            <w:tcW w:w="7996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报告内容简介</w:t>
            </w:r>
          </w:p>
        </w:tc>
        <w:tc>
          <w:tcPr>
            <w:tcW w:w="7996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指导教师</w:t>
            </w:r>
            <w:r>
              <w:rPr>
                <w:rFonts w:hint="eastAsia" w:ascii="仿宋_GB2312" w:eastAsia="仿宋_GB2312"/>
              </w:rPr>
              <w:t>/导师意见</w:t>
            </w:r>
          </w:p>
        </w:tc>
        <w:tc>
          <w:tcPr>
            <w:tcW w:w="7996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56"/>
        <w:jc w:val="right"/>
      </w:pPr>
    </w:p>
    <w:p>
      <w:pPr>
        <w:tabs>
          <w:tab w:val="left" w:pos="1032"/>
        </w:tabs>
        <w:bidi w:val="0"/>
        <w:jc w:val="left"/>
        <w:rPr>
          <w:rFonts w:hint="eastAsia" w:eastAsiaTheme="minorEastAsia"/>
          <w:lang w:val="en-US" w:eastAsia="zh-CN"/>
        </w:rPr>
        <w:sectPr>
          <w:pgSz w:w="11906" w:h="16838"/>
          <w:pgMar w:top="1134" w:right="1134" w:bottom="1134" w:left="1134" w:header="709" w:footer="850" w:gutter="0"/>
          <w:cols w:space="720" w:num="1"/>
        </w:sectPr>
      </w:pPr>
      <w:r>
        <w:rPr>
          <w:rFonts w:hint="eastAsia" w:ascii="仿宋_GB2312" w:hAnsi="宋体" w:eastAsia="仿宋_GB2312"/>
          <w:b/>
          <w:bCs/>
          <w:szCs w:val="21"/>
        </w:rPr>
        <w:t xml:space="preserve">注: </w:t>
      </w:r>
      <w:r>
        <w:rPr>
          <w:rFonts w:hint="eastAsia" w:ascii="仿宋_GB2312" w:hAnsi="宋体" w:eastAsia="仿宋_GB2312"/>
          <w:szCs w:val="21"/>
        </w:rPr>
        <w:t>请以学院为单位把此表于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28</w:t>
      </w:r>
      <w:r>
        <w:rPr>
          <w:rFonts w:hint="eastAsia" w:ascii="仿宋_GB2312" w:hAnsi="宋体" w:eastAsia="仿宋_GB2312"/>
          <w:szCs w:val="21"/>
        </w:rPr>
        <w:t>日</w:t>
      </w:r>
      <w:r>
        <w:rPr>
          <w:rFonts w:hint="eastAsia" w:eastAsia="仿宋_GB2312"/>
          <w:szCs w:val="21"/>
        </w:rPr>
        <w:t>（周</w:t>
      </w:r>
      <w:r>
        <w:rPr>
          <w:rFonts w:hint="eastAsia" w:eastAsia="仿宋_GB2312"/>
          <w:szCs w:val="21"/>
          <w:lang w:val="en-US" w:eastAsia="zh-CN"/>
        </w:rPr>
        <w:t>五</w:t>
      </w:r>
      <w:r>
        <w:rPr>
          <w:rFonts w:hint="eastAsia" w:eastAsia="仿宋_GB2312"/>
          <w:szCs w:val="21"/>
        </w:rPr>
        <w:t>）之前</w:t>
      </w:r>
      <w:r>
        <w:rPr>
          <w:rFonts w:hint="eastAsia" w:ascii="仿宋_GB2312" w:hAnsi="宋体" w:eastAsia="仿宋_GB2312"/>
          <w:szCs w:val="21"/>
        </w:rPr>
        <w:t>报送至研工部，电子版</w:t>
      </w:r>
      <w:r>
        <w:rPr>
          <w:rFonts w:hint="eastAsia" w:eastAsia="仿宋_GB2312"/>
          <w:szCs w:val="21"/>
        </w:rPr>
        <w:t>发送电子版到邮箱：</w:t>
      </w:r>
      <w:r>
        <w:rPr>
          <w:rFonts w:hint="eastAsia" w:ascii="仿宋_GB2312" w:hAnsi="宋体" w:eastAsia="仿宋_GB2312"/>
          <w:szCs w:val="21"/>
        </w:rPr>
        <w:t>sizhengke@tust.edu.cn。</w:t>
      </w:r>
    </w:p>
    <w:p>
      <w:pPr>
        <w:spacing w:line="540" w:lineRule="exact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 xml:space="preserve"> 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第十二届</w:t>
      </w:r>
      <w:r>
        <w:rPr>
          <w:rFonts w:hint="eastAsia" w:ascii="黑体" w:eastAsia="黑体"/>
          <w:bCs/>
          <w:sz w:val="36"/>
          <w:szCs w:val="36"/>
        </w:rPr>
        <w:t>“渤海风”研究生学术文化季</w:t>
      </w:r>
    </w:p>
    <w:p>
      <w:pPr>
        <w:spacing w:line="5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启明新星之创新创业分享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会</w:t>
      </w:r>
      <w:r>
        <w:rPr>
          <w:rFonts w:hint="eastAsia" w:ascii="黑体" w:eastAsia="黑体"/>
          <w:bCs/>
          <w:sz w:val="36"/>
          <w:szCs w:val="36"/>
        </w:rPr>
        <w:t>开展情况汇总表</w:t>
      </w: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354" w:firstLineChars="147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学院（公章）：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1291"/>
        <w:gridCol w:w="1727"/>
        <w:gridCol w:w="1848"/>
        <w:gridCol w:w="1957"/>
        <w:gridCol w:w="85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分享</w:t>
            </w: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报告地点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1417" w:firstLineChars="588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分享会</w:t>
      </w:r>
      <w:r>
        <w:rPr>
          <w:rFonts w:hint="eastAsia" w:ascii="宋体" w:hAnsi="宋体"/>
          <w:b/>
          <w:sz w:val="24"/>
        </w:rPr>
        <w:t>负责人：____________           联系方式：</w:t>
      </w:r>
      <w:r>
        <w:rPr>
          <w:rFonts w:hint="eastAsia" w:ascii="宋体" w:hAnsi="宋体"/>
          <w:b/>
          <w:sz w:val="24"/>
          <w:u w:val="single"/>
        </w:rPr>
        <w:t xml:space="preserve">                   </w:t>
      </w:r>
      <w:r>
        <w:rPr>
          <w:rFonts w:hint="eastAsia" w:ascii="宋体" w:hAnsi="宋体"/>
          <w:b/>
          <w:sz w:val="24"/>
        </w:rPr>
        <w:t xml:space="preserve">      填表时间：_______________</w:t>
      </w:r>
    </w:p>
    <w:p>
      <w:pPr>
        <w:spacing w:line="320" w:lineRule="exact"/>
        <w:ind w:firstLine="472" w:firstLineChars="196"/>
        <w:rPr>
          <w:rFonts w:hint="eastAsia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 xml:space="preserve">注: </w:t>
      </w:r>
      <w:r>
        <w:rPr>
          <w:rFonts w:hint="eastAsia" w:ascii="仿宋_GB2312" w:hAnsi="宋体" w:eastAsia="仿宋_GB2312"/>
          <w:szCs w:val="21"/>
        </w:rPr>
        <w:t>请以学院为单位把此表于</w:t>
      </w:r>
      <w:r>
        <w:rPr>
          <w:rFonts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lang w:val="en-US" w:eastAsia="zh-CN"/>
        </w:rPr>
        <w:t>23</w:t>
      </w:r>
      <w:r>
        <w:rPr>
          <w:rFonts w:hint="eastAsia" w:ascii="仿宋_GB2312" w:hAnsi="宋体" w:eastAsia="仿宋_GB2312"/>
          <w:szCs w:val="21"/>
        </w:rPr>
        <w:t>日</w:t>
      </w:r>
      <w:r>
        <w:rPr>
          <w:rFonts w:hint="eastAsia" w:eastAsia="仿宋_GB2312"/>
          <w:szCs w:val="21"/>
        </w:rPr>
        <w:t>（周</w:t>
      </w:r>
      <w:r>
        <w:rPr>
          <w:rFonts w:hint="eastAsia" w:eastAsia="仿宋_GB2312"/>
          <w:szCs w:val="21"/>
          <w:lang w:val="en-US" w:eastAsia="zh-CN"/>
        </w:rPr>
        <w:t>二</w:t>
      </w:r>
      <w:r>
        <w:rPr>
          <w:rFonts w:hint="eastAsia" w:eastAsia="仿宋_GB2312"/>
          <w:szCs w:val="21"/>
        </w:rPr>
        <w:t>）之前</w:t>
      </w:r>
      <w:r>
        <w:rPr>
          <w:rFonts w:hint="eastAsia" w:ascii="仿宋_GB2312" w:hAnsi="宋体" w:eastAsia="仿宋_GB2312"/>
          <w:szCs w:val="21"/>
        </w:rPr>
        <w:t>报送至研工部，电子版</w:t>
      </w:r>
      <w:r>
        <w:rPr>
          <w:rFonts w:hint="eastAsia" w:eastAsia="仿宋_GB2312"/>
          <w:szCs w:val="21"/>
        </w:rPr>
        <w:t>发送电子版到邮箱：</w:t>
      </w:r>
      <w:r>
        <w:rPr>
          <w:rFonts w:hint="eastAsia" w:ascii="仿宋_GB2312" w:hAnsi="宋体" w:eastAsia="仿宋_GB2312"/>
          <w:szCs w:val="21"/>
        </w:rPr>
        <w:t>sizhengke@tust.edu.cn。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56"/>
        <w:jc w:val="right"/>
      </w:pPr>
    </w:p>
    <w:sectPr>
      <w:pgSz w:w="16838" w:h="11906" w:orient="landscape"/>
      <w:pgMar w:top="1418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DFmYzQwYTY1Y2JlN2E5MGE0ZDNkODBiNjhkMzUifQ=="/>
  </w:docVars>
  <w:rsids>
    <w:rsidRoot w:val="00E17AA2"/>
    <w:rsid w:val="001B37BF"/>
    <w:rsid w:val="003000E4"/>
    <w:rsid w:val="005B38BB"/>
    <w:rsid w:val="005C6B1B"/>
    <w:rsid w:val="005D1837"/>
    <w:rsid w:val="006E36BF"/>
    <w:rsid w:val="00870788"/>
    <w:rsid w:val="00AD2226"/>
    <w:rsid w:val="00B861D0"/>
    <w:rsid w:val="00E17AA2"/>
    <w:rsid w:val="00E7717F"/>
    <w:rsid w:val="00E82DCC"/>
    <w:rsid w:val="00F6407F"/>
    <w:rsid w:val="020C7BA9"/>
    <w:rsid w:val="0769658E"/>
    <w:rsid w:val="07C26149"/>
    <w:rsid w:val="0C105208"/>
    <w:rsid w:val="0D4C7B31"/>
    <w:rsid w:val="162E0778"/>
    <w:rsid w:val="174D6847"/>
    <w:rsid w:val="19DE1A34"/>
    <w:rsid w:val="256A414F"/>
    <w:rsid w:val="26CA384A"/>
    <w:rsid w:val="27E014F2"/>
    <w:rsid w:val="29AF561F"/>
    <w:rsid w:val="2AB51798"/>
    <w:rsid w:val="30116937"/>
    <w:rsid w:val="304509E1"/>
    <w:rsid w:val="316119BC"/>
    <w:rsid w:val="33D22FFC"/>
    <w:rsid w:val="3882287D"/>
    <w:rsid w:val="42360234"/>
    <w:rsid w:val="489D1D33"/>
    <w:rsid w:val="49F42A9C"/>
    <w:rsid w:val="53C64B37"/>
    <w:rsid w:val="56D54D03"/>
    <w:rsid w:val="5700185F"/>
    <w:rsid w:val="578F614C"/>
    <w:rsid w:val="58585C04"/>
    <w:rsid w:val="5AFC086A"/>
    <w:rsid w:val="5C544CEC"/>
    <w:rsid w:val="64D67FEA"/>
    <w:rsid w:val="651E54C0"/>
    <w:rsid w:val="67780EFB"/>
    <w:rsid w:val="689903AB"/>
    <w:rsid w:val="6F6A6D8C"/>
    <w:rsid w:val="6FB4784B"/>
    <w:rsid w:val="6FC41C41"/>
    <w:rsid w:val="769B32FE"/>
    <w:rsid w:val="77472401"/>
    <w:rsid w:val="7820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eastAsiaTheme="minorEastAsia"/>
      <w:sz w:val="18"/>
      <w:szCs w:val="18"/>
      <w:lang w:eastAsia="en-US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1769</Words>
  <Characters>1923</Characters>
  <Lines>11</Lines>
  <Paragraphs>3</Paragraphs>
  <TotalTime>0</TotalTime>
  <ScaleCrop>false</ScaleCrop>
  <LinksUpToDate>false</LinksUpToDate>
  <CharactersWithSpaces>2093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2020-04-02T02:13:00Z</dcterms:created>
  <dc:creator>zjl</dc:creator>
  <cp:lastModifiedBy>一半矜持</cp:lastModifiedBy>
  <cp:lastPrinted>2023-04-18T05:08:00Z</cp:lastPrinted>
  <dcterms:modified xsi:type="dcterms:W3CDTF">2023-04-18T06:00:46Z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076E07E80AC04E65948AD10E083520C4_12</vt:lpwstr>
  </property>
</Properties>
</file>